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AD5742" w14:paraId="46C5A416" w14:textId="77777777" w:rsidTr="00AD5742">
        <w:tc>
          <w:tcPr>
            <w:tcW w:w="0" w:type="auto"/>
            <w:vAlign w:val="center"/>
            <w:hideMark/>
          </w:tcPr>
          <w:tbl>
            <w:tblPr>
              <w:tblW w:w="9000" w:type="dxa"/>
              <w:jc w:val="center"/>
              <w:shd w:val="clear" w:color="auto" w:fill="D6E9F6"/>
              <w:tblCellMar>
                <w:left w:w="0" w:type="dxa"/>
                <w:right w:w="0" w:type="dxa"/>
              </w:tblCellMar>
              <w:tblLook w:val="04A0" w:firstRow="1" w:lastRow="0" w:firstColumn="1" w:lastColumn="0" w:noHBand="0" w:noVBand="1"/>
            </w:tblPr>
            <w:tblGrid>
              <w:gridCol w:w="9000"/>
            </w:tblGrid>
            <w:tr w:rsidR="00AD5742" w14:paraId="05720A01" w14:textId="77777777">
              <w:trPr>
                <w:jc w:val="center"/>
              </w:trPr>
              <w:tc>
                <w:tcPr>
                  <w:tcW w:w="0" w:type="auto"/>
                  <w:tcBorders>
                    <w:top w:val="single" w:sz="8" w:space="0" w:color="03303E"/>
                    <w:left w:val="single" w:sz="8" w:space="0" w:color="03303E"/>
                    <w:bottom w:val="nil"/>
                    <w:right w:val="single" w:sz="8" w:space="0" w:color="03303E"/>
                  </w:tcBorders>
                  <w:shd w:val="clear" w:color="auto" w:fill="D6E9F6"/>
                  <w:vAlign w:val="bottom"/>
                  <w:hideMark/>
                </w:tcPr>
                <w:tbl>
                  <w:tblPr>
                    <w:tblW w:w="7500" w:type="dxa"/>
                    <w:jc w:val="center"/>
                    <w:tblCellMar>
                      <w:left w:w="0" w:type="dxa"/>
                      <w:right w:w="0" w:type="dxa"/>
                    </w:tblCellMar>
                    <w:tblLook w:val="04A0" w:firstRow="1" w:lastRow="0" w:firstColumn="1" w:lastColumn="0" w:noHBand="0" w:noVBand="1"/>
                  </w:tblPr>
                  <w:tblGrid>
                    <w:gridCol w:w="5161"/>
                    <w:gridCol w:w="2339"/>
                  </w:tblGrid>
                  <w:tr w:rsidR="00AD5742" w14:paraId="42FC0AEA" w14:textId="77777777">
                    <w:trPr>
                      <w:gridAfter w:val="1"/>
                      <w:trHeight w:val="250"/>
                      <w:jc w:val="center"/>
                    </w:trPr>
                    <w:tc>
                      <w:tcPr>
                        <w:tcW w:w="0" w:type="auto"/>
                        <w:vAlign w:val="center"/>
                        <w:hideMark/>
                      </w:tcPr>
                      <w:p w14:paraId="05C3C8D3" w14:textId="77777777" w:rsidR="00AD5742" w:rsidRDefault="00AD5742"/>
                    </w:tc>
                  </w:tr>
                  <w:tr w:rsidR="00AD5742" w14:paraId="3691F54B" w14:textId="77777777">
                    <w:trPr>
                      <w:gridAfter w:val="1"/>
                      <w:jc w:val="center"/>
                    </w:trPr>
                    <w:tc>
                      <w:tcPr>
                        <w:tcW w:w="0" w:type="auto"/>
                        <w:vAlign w:val="center"/>
                        <w:hideMark/>
                      </w:tcPr>
                      <w:p w14:paraId="5A3B78B1" w14:textId="77777777" w:rsidR="00AD5742" w:rsidRDefault="00AD5742">
                        <w:pPr>
                          <w:rPr>
                            <w:rFonts w:eastAsia="Times New Roman"/>
                            <w:sz w:val="20"/>
                            <w:szCs w:val="20"/>
                          </w:rPr>
                        </w:pPr>
                      </w:p>
                    </w:tc>
                  </w:tr>
                  <w:tr w:rsidR="00AD5742" w14:paraId="62F66837" w14:textId="77777777">
                    <w:trPr>
                      <w:jc w:val="center"/>
                    </w:trPr>
                    <w:tc>
                      <w:tcPr>
                        <w:tcW w:w="0" w:type="auto"/>
                        <w:hideMark/>
                      </w:tcPr>
                      <w:p w14:paraId="187C13AB" w14:textId="77777777" w:rsidR="00AD5742" w:rsidRDefault="00AD5742">
                        <w:pPr>
                          <w:pStyle w:val="berschrift4"/>
                          <w:spacing w:before="555" w:line="570" w:lineRule="atLeast"/>
                          <w:rPr>
                            <w:rFonts w:ascii="Arial" w:eastAsia="Times New Roman" w:hAnsi="Arial" w:cs="Arial"/>
                            <w:color w:val="03303E"/>
                            <w:sz w:val="42"/>
                            <w:szCs w:val="42"/>
                          </w:rPr>
                        </w:pPr>
                        <w:r>
                          <w:rPr>
                            <w:rFonts w:ascii="Arial" w:eastAsia="Times New Roman" w:hAnsi="Arial" w:cs="Arial"/>
                            <w:color w:val="03303E"/>
                          </w:rPr>
                          <w:t>Medieninformation</w:t>
                        </w:r>
                      </w:p>
                      <w:p w14:paraId="6B0B3D4B" w14:textId="77777777" w:rsidR="00AD5742" w:rsidRDefault="00AD5742">
                        <w:pPr>
                          <w:pStyle w:val="berschrift5"/>
                          <w:spacing w:after="0" w:line="300" w:lineRule="atLeast"/>
                          <w:rPr>
                            <w:rFonts w:ascii="Arial" w:eastAsia="Times New Roman" w:hAnsi="Arial" w:cs="Arial"/>
                            <w:color w:val="03303E"/>
                            <w:sz w:val="26"/>
                            <w:szCs w:val="26"/>
                          </w:rPr>
                        </w:pPr>
                        <w:r>
                          <w:rPr>
                            <w:rFonts w:ascii="Arial" w:eastAsia="Times New Roman" w:hAnsi="Arial" w:cs="Arial"/>
                            <w:color w:val="03303E"/>
                            <w:sz w:val="26"/>
                            <w:szCs w:val="26"/>
                          </w:rPr>
                          <w:t>Innsbruck, am 12. April 2024</w:t>
                        </w:r>
                      </w:p>
                    </w:tc>
                    <w:tc>
                      <w:tcPr>
                        <w:tcW w:w="0" w:type="auto"/>
                        <w:hideMark/>
                      </w:tcPr>
                      <w:p w14:paraId="293B4C9A" w14:textId="308C592F" w:rsidR="00AD5742" w:rsidRDefault="00AD5742">
                        <w:pPr>
                          <w:spacing w:line="300" w:lineRule="atLeast"/>
                          <w:jc w:val="right"/>
                          <w:rPr>
                            <w:rFonts w:ascii="Arial" w:hAnsi="Arial" w:cs="Arial"/>
                            <w:color w:val="03303E"/>
                            <w:sz w:val="26"/>
                            <w:szCs w:val="26"/>
                          </w:rPr>
                        </w:pPr>
                        <w:r>
                          <w:rPr>
                            <w:rFonts w:ascii="Arial" w:hAnsi="Arial" w:cs="Arial"/>
                            <w:noProof/>
                            <w:color w:val="03303E"/>
                            <w:sz w:val="26"/>
                            <w:szCs w:val="26"/>
                          </w:rPr>
                          <w:drawing>
                            <wp:inline distT="0" distB="0" distL="0" distR="0" wp14:anchorId="7036EA34" wp14:editId="62F6C910">
                              <wp:extent cx="948690" cy="948690"/>
                              <wp:effectExtent l="0" t="0" r="3810" b="3810"/>
                              <wp:docPr id="1476021479" name="Grafik 1" descr="Land Tir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nd Tirol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p>
                    </w:tc>
                  </w:tr>
                  <w:tr w:rsidR="00AD5742" w14:paraId="17C199B0" w14:textId="77777777">
                    <w:trPr>
                      <w:trHeight w:val="250"/>
                      <w:jc w:val="center"/>
                    </w:trPr>
                    <w:tc>
                      <w:tcPr>
                        <w:tcW w:w="0" w:type="auto"/>
                        <w:vAlign w:val="center"/>
                        <w:hideMark/>
                      </w:tcPr>
                      <w:p w14:paraId="2208EFA2" w14:textId="77777777" w:rsidR="00AD5742" w:rsidRDefault="00AD5742">
                        <w:pPr>
                          <w:rPr>
                            <w:rFonts w:ascii="Arial" w:hAnsi="Arial" w:cs="Arial"/>
                            <w:color w:val="03303E"/>
                            <w:sz w:val="26"/>
                            <w:szCs w:val="26"/>
                          </w:rPr>
                        </w:pPr>
                      </w:p>
                    </w:tc>
                    <w:tc>
                      <w:tcPr>
                        <w:tcW w:w="0" w:type="auto"/>
                        <w:vAlign w:val="center"/>
                        <w:hideMark/>
                      </w:tcPr>
                      <w:p w14:paraId="4BDDD1AC" w14:textId="77777777" w:rsidR="00AD5742" w:rsidRDefault="00AD5742">
                        <w:pPr>
                          <w:rPr>
                            <w:rFonts w:eastAsia="Times New Roman"/>
                            <w:sz w:val="20"/>
                            <w:szCs w:val="20"/>
                          </w:rPr>
                        </w:pPr>
                      </w:p>
                    </w:tc>
                  </w:tr>
                </w:tbl>
                <w:p w14:paraId="7931C57B" w14:textId="77777777" w:rsidR="00AD5742" w:rsidRDefault="00AD5742">
                  <w:pPr>
                    <w:jc w:val="center"/>
                    <w:rPr>
                      <w:rFonts w:eastAsia="Times New Roman"/>
                      <w:sz w:val="20"/>
                      <w:szCs w:val="20"/>
                    </w:rPr>
                  </w:pPr>
                </w:p>
              </w:tc>
            </w:tr>
          </w:tbl>
          <w:p w14:paraId="02F687D5" w14:textId="77777777" w:rsidR="00AD5742" w:rsidRDefault="00AD5742">
            <w:pPr>
              <w:jc w:val="center"/>
              <w:rPr>
                <w:rFonts w:eastAsia="Times New Roman"/>
                <w:sz w:val="20"/>
                <w:szCs w:val="20"/>
              </w:rPr>
            </w:pPr>
          </w:p>
        </w:tc>
      </w:tr>
      <w:tr w:rsidR="00AD5742" w14:paraId="4059053D" w14:textId="77777777" w:rsidTr="00AD5742">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D5742" w14:paraId="7DAEAAF2" w14:textId="77777777">
              <w:trPr>
                <w:jc w:val="center"/>
              </w:trPr>
              <w:tc>
                <w:tcPr>
                  <w:tcW w:w="0" w:type="auto"/>
                  <w:tcBorders>
                    <w:top w:val="nil"/>
                    <w:left w:val="single" w:sz="8" w:space="0" w:color="03303E"/>
                    <w:bottom w:val="nil"/>
                    <w:right w:val="single" w:sz="8" w:space="0" w:color="03303E"/>
                  </w:tcBorders>
                  <w:shd w:val="clear" w:color="auto" w:fill="FFFFFF"/>
                  <w:vAlign w:val="center"/>
                  <w:hideMark/>
                </w:tcPr>
                <w:tbl>
                  <w:tblPr>
                    <w:tblW w:w="7500" w:type="dxa"/>
                    <w:jc w:val="center"/>
                    <w:tblCellMar>
                      <w:left w:w="0" w:type="dxa"/>
                      <w:right w:w="0" w:type="dxa"/>
                    </w:tblCellMar>
                    <w:tblLook w:val="04A0" w:firstRow="1" w:lastRow="0" w:firstColumn="1" w:lastColumn="0" w:noHBand="0" w:noVBand="1"/>
                  </w:tblPr>
                  <w:tblGrid>
                    <w:gridCol w:w="7500"/>
                  </w:tblGrid>
                  <w:tr w:rsidR="00AD5742" w14:paraId="2BA4D63F" w14:textId="77777777">
                    <w:trPr>
                      <w:trHeight w:val="500"/>
                      <w:jc w:val="center"/>
                    </w:trPr>
                    <w:tc>
                      <w:tcPr>
                        <w:tcW w:w="0" w:type="auto"/>
                        <w:vAlign w:val="center"/>
                        <w:hideMark/>
                      </w:tcPr>
                      <w:p w14:paraId="2734B231" w14:textId="77777777" w:rsidR="00AD5742" w:rsidRDefault="00AD5742">
                        <w:pPr>
                          <w:rPr>
                            <w:rFonts w:eastAsia="Times New Roman"/>
                            <w:sz w:val="20"/>
                            <w:szCs w:val="20"/>
                          </w:rPr>
                        </w:pPr>
                      </w:p>
                    </w:tc>
                  </w:tr>
                  <w:tr w:rsidR="00AD5742" w14:paraId="331AB715" w14:textId="77777777">
                    <w:trPr>
                      <w:jc w:val="center"/>
                    </w:trPr>
                    <w:tc>
                      <w:tcPr>
                        <w:tcW w:w="0" w:type="auto"/>
                        <w:vAlign w:val="center"/>
                        <w:hideMark/>
                      </w:tcPr>
                      <w:p w14:paraId="6DBBFD8F" w14:textId="77777777" w:rsidR="00AD5742" w:rsidRDefault="00AD5742">
                        <w:pPr>
                          <w:pStyle w:val="berschrift2"/>
                          <w:rPr>
                            <w:rFonts w:ascii="Arial" w:eastAsia="Times New Roman" w:hAnsi="Arial" w:cs="Arial"/>
                            <w:color w:val="03303E"/>
                            <w:sz w:val="30"/>
                            <w:szCs w:val="30"/>
                          </w:rPr>
                        </w:pPr>
                        <w:r>
                          <w:rPr>
                            <w:rFonts w:ascii="Arial" w:eastAsia="Times New Roman" w:hAnsi="Arial" w:cs="Arial"/>
                            <w:color w:val="03303E"/>
                          </w:rPr>
                          <w:t>Europawahl 2024: Die wichtigsten Infos zur Wahl am 9. Juni</w:t>
                        </w:r>
                      </w:p>
                      <w:p w14:paraId="5FFB4C83" w14:textId="77777777" w:rsidR="00AD5742" w:rsidRDefault="00AD5742" w:rsidP="00A40A68">
                        <w:pPr>
                          <w:numPr>
                            <w:ilvl w:val="0"/>
                            <w:numId w:val="1"/>
                          </w:numPr>
                          <w:spacing w:before="100" w:beforeAutospacing="1" w:after="100" w:afterAutospacing="1" w:line="300" w:lineRule="atLeast"/>
                          <w:rPr>
                            <w:rFonts w:ascii="Arial" w:eastAsia="Times New Roman" w:hAnsi="Arial" w:cs="Arial"/>
                            <w:color w:val="03303E"/>
                            <w:sz w:val="26"/>
                            <w:szCs w:val="26"/>
                          </w:rPr>
                        </w:pPr>
                        <w:r>
                          <w:rPr>
                            <w:rStyle w:val="Fett"/>
                            <w:rFonts w:ascii="Arial" w:eastAsia="Times New Roman" w:hAnsi="Arial" w:cs="Arial"/>
                            <w:color w:val="03303E"/>
                            <w:sz w:val="26"/>
                            <w:szCs w:val="26"/>
                          </w:rPr>
                          <w:t>EU-BürgerInnen wählen insgesamt 720 Mitglieder des Europäisches Parlaments</w:t>
                        </w:r>
                      </w:p>
                      <w:p w14:paraId="46B31747" w14:textId="77777777" w:rsidR="00AD5742" w:rsidRDefault="00AD5742" w:rsidP="00A40A68">
                        <w:pPr>
                          <w:numPr>
                            <w:ilvl w:val="0"/>
                            <w:numId w:val="1"/>
                          </w:numPr>
                          <w:spacing w:before="100" w:beforeAutospacing="1" w:after="100" w:afterAutospacing="1" w:line="300" w:lineRule="atLeast"/>
                          <w:rPr>
                            <w:rFonts w:ascii="Arial" w:eastAsia="Times New Roman" w:hAnsi="Arial" w:cs="Arial"/>
                            <w:color w:val="03303E"/>
                            <w:sz w:val="26"/>
                            <w:szCs w:val="26"/>
                          </w:rPr>
                        </w:pPr>
                        <w:r>
                          <w:rPr>
                            <w:rStyle w:val="Fett"/>
                            <w:rFonts w:ascii="Arial" w:eastAsia="Times New Roman" w:hAnsi="Arial" w:cs="Arial"/>
                            <w:color w:val="03303E"/>
                            <w:sz w:val="26"/>
                            <w:szCs w:val="26"/>
                          </w:rPr>
                          <w:t>Europa-Wählerevidenz liegt ab 16. April in Gemeinden auf</w:t>
                        </w:r>
                      </w:p>
                      <w:p w14:paraId="5F90E8E4" w14:textId="77777777" w:rsidR="00AD5742" w:rsidRDefault="00AD5742" w:rsidP="00A40A68">
                        <w:pPr>
                          <w:numPr>
                            <w:ilvl w:val="0"/>
                            <w:numId w:val="1"/>
                          </w:numPr>
                          <w:spacing w:before="100" w:beforeAutospacing="1" w:after="100" w:afterAutospacing="1" w:line="300" w:lineRule="atLeast"/>
                          <w:rPr>
                            <w:rFonts w:ascii="Arial" w:eastAsia="Times New Roman" w:hAnsi="Arial" w:cs="Arial"/>
                            <w:color w:val="03303E"/>
                            <w:sz w:val="26"/>
                            <w:szCs w:val="26"/>
                          </w:rPr>
                        </w:pPr>
                        <w:r>
                          <w:rPr>
                            <w:rStyle w:val="Fett"/>
                            <w:rFonts w:ascii="Arial" w:eastAsia="Times New Roman" w:hAnsi="Arial" w:cs="Arial"/>
                            <w:color w:val="03303E"/>
                            <w:sz w:val="26"/>
                            <w:szCs w:val="26"/>
                          </w:rPr>
                          <w:t>So kann gewählt werden: Wahl im Wahllokal, vor „Fliegender Wahlkommission“ oder per Wahlkarte/Briefwahl</w:t>
                        </w:r>
                      </w:p>
                      <w:p w14:paraId="55435475" w14:textId="77777777" w:rsidR="00AD5742" w:rsidRDefault="00AD5742" w:rsidP="00A40A68">
                        <w:pPr>
                          <w:numPr>
                            <w:ilvl w:val="0"/>
                            <w:numId w:val="1"/>
                          </w:numPr>
                          <w:spacing w:before="100" w:beforeAutospacing="1" w:after="100" w:afterAutospacing="1" w:line="300" w:lineRule="atLeast"/>
                          <w:rPr>
                            <w:rFonts w:ascii="Arial" w:eastAsia="Times New Roman" w:hAnsi="Arial" w:cs="Arial"/>
                            <w:color w:val="03303E"/>
                            <w:sz w:val="26"/>
                            <w:szCs w:val="26"/>
                          </w:rPr>
                        </w:pPr>
                        <w:r>
                          <w:rPr>
                            <w:rStyle w:val="Fett"/>
                            <w:rFonts w:ascii="Arial" w:eastAsia="Times New Roman" w:hAnsi="Arial" w:cs="Arial"/>
                            <w:color w:val="03303E"/>
                            <w:sz w:val="26"/>
                            <w:szCs w:val="26"/>
                          </w:rPr>
                          <w:t>Wahlkarten können ab sofort beantragt werden</w:t>
                        </w:r>
                      </w:p>
                      <w:p w14:paraId="130C0059" w14:textId="77777777" w:rsidR="00AD5742" w:rsidRDefault="00AD5742" w:rsidP="00A40A68">
                        <w:pPr>
                          <w:numPr>
                            <w:ilvl w:val="0"/>
                            <w:numId w:val="1"/>
                          </w:numPr>
                          <w:spacing w:before="100" w:beforeAutospacing="1" w:after="100" w:afterAutospacing="1" w:line="300" w:lineRule="atLeast"/>
                          <w:rPr>
                            <w:rFonts w:ascii="Arial" w:eastAsia="Times New Roman" w:hAnsi="Arial" w:cs="Arial"/>
                            <w:color w:val="03303E"/>
                            <w:sz w:val="26"/>
                            <w:szCs w:val="26"/>
                          </w:rPr>
                        </w:pPr>
                        <w:r>
                          <w:rPr>
                            <w:rStyle w:val="Fett"/>
                            <w:rFonts w:ascii="Arial" w:eastAsia="Times New Roman" w:hAnsi="Arial" w:cs="Arial"/>
                            <w:color w:val="03303E"/>
                            <w:sz w:val="26"/>
                            <w:szCs w:val="26"/>
                          </w:rPr>
                          <w:t xml:space="preserve">Mehr Infos: </w:t>
                        </w:r>
                        <w:hyperlink r:id="rId7" w:history="1">
                          <w:r>
                            <w:rPr>
                              <w:rStyle w:val="Fett"/>
                              <w:rFonts w:ascii="Arial" w:eastAsia="Times New Roman" w:hAnsi="Arial" w:cs="Arial"/>
                              <w:color w:val="000001"/>
                              <w:sz w:val="26"/>
                              <w:szCs w:val="26"/>
                              <w:u w:val="single"/>
                            </w:rPr>
                            <w:t>www.tirol.gv.at/europawahl2024</w:t>
                          </w:r>
                        </w:hyperlink>
                      </w:p>
                      <w:p w14:paraId="4E7602C4" w14:textId="77777777" w:rsidR="00AD5742" w:rsidRDefault="00AD5742" w:rsidP="00A40A68">
                        <w:pPr>
                          <w:numPr>
                            <w:ilvl w:val="0"/>
                            <w:numId w:val="1"/>
                          </w:numPr>
                          <w:spacing w:before="100" w:beforeAutospacing="1" w:after="100" w:afterAutospacing="1" w:line="300" w:lineRule="atLeast"/>
                          <w:rPr>
                            <w:rFonts w:ascii="Arial" w:eastAsia="Times New Roman" w:hAnsi="Arial" w:cs="Arial"/>
                            <w:color w:val="03303E"/>
                            <w:sz w:val="26"/>
                            <w:szCs w:val="26"/>
                          </w:rPr>
                        </w:pPr>
                        <w:r>
                          <w:rPr>
                            <w:rStyle w:val="Fett"/>
                            <w:rFonts w:ascii="Arial" w:eastAsia="Times New Roman" w:hAnsi="Arial" w:cs="Arial"/>
                            <w:color w:val="03303E"/>
                            <w:sz w:val="26"/>
                            <w:szCs w:val="26"/>
                          </w:rPr>
                          <w:t>Podiumsdiskussion zur Europawahl am 22. April in Innsbruck</w:t>
                        </w:r>
                      </w:p>
                      <w:p w14:paraId="2054E808"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 xml:space="preserve">Von der Vereinheitlichung von Ladekabeln über Klimaschutz- und Sicherheitsmaßnahmen bis zu Förderungen für die Landwirtschaft – tagtäglich befasst sich die Europäischen Union mit Themen, die auch direkten Einfluss auf das tägliche Leben der EU-BürgerInnen – und damit auch der TirolerInnen – haben. Im Rahmen der Europawahl am 9. Juni 2024 haben alle wahlberechtigten </w:t>
                        </w:r>
                        <w:proofErr w:type="spellStart"/>
                        <w:r>
                          <w:rPr>
                            <w:rFonts w:ascii="Arial" w:hAnsi="Arial" w:cs="Arial"/>
                            <w:color w:val="03303E"/>
                            <w:sz w:val="26"/>
                            <w:szCs w:val="26"/>
                          </w:rPr>
                          <w:t>UnionsbürgerInnen</w:t>
                        </w:r>
                        <w:proofErr w:type="spellEnd"/>
                        <w:r>
                          <w:rPr>
                            <w:rFonts w:ascii="Arial" w:hAnsi="Arial" w:cs="Arial"/>
                            <w:color w:val="03303E"/>
                            <w:sz w:val="26"/>
                            <w:szCs w:val="26"/>
                          </w:rPr>
                          <w:t xml:space="preserve"> die Möglichkeit, mit ihrer Stimme über die Zukunft der EU mitzubestimmen.</w:t>
                        </w:r>
                      </w:p>
                      <w:p w14:paraId="745631AD" w14:textId="32916393"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Wahlberechtigte aus allen 27 EU-Mitgliedsstaaten wählen am 9. Juni insgesamt 720 Mitglieder des Europäischen Parlaments – einer der zentralen Institutionen für die Verabschiedung neue</w:t>
                        </w:r>
                        <w:r>
                          <w:rPr>
                            <w:rFonts w:ascii="Arial" w:hAnsi="Arial" w:cs="Arial"/>
                            <w:color w:val="03303E"/>
                            <w:sz w:val="26"/>
                            <w:szCs w:val="26"/>
                          </w:rPr>
                          <w:t>r</w:t>
                        </w:r>
                        <w:r>
                          <w:rPr>
                            <w:rFonts w:ascii="Arial" w:hAnsi="Arial" w:cs="Arial"/>
                            <w:color w:val="03303E"/>
                            <w:sz w:val="26"/>
                            <w:szCs w:val="26"/>
                          </w:rPr>
                          <w:t xml:space="preserve"> Rechtsvorschriften in der EU. Für Österreich können für die Funktionsperiode 2024 bis 2029 insgesamt 20 Mitglieder des Europäischen Parlaments gewählt werden.</w:t>
                        </w:r>
                      </w:p>
                      <w:p w14:paraId="29BCB196"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 xml:space="preserve">Wer ist wahlberechtigt? </w:t>
                        </w:r>
                      </w:p>
                      <w:p w14:paraId="46F58528"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 xml:space="preserve">Bei der Europawahl am 9. Juni 2024 dürfen in Österreich alle ÖsterreicherInnen und </w:t>
                        </w:r>
                        <w:proofErr w:type="spellStart"/>
                        <w:r>
                          <w:rPr>
                            <w:rFonts w:ascii="Arial" w:hAnsi="Arial" w:cs="Arial"/>
                            <w:color w:val="03303E"/>
                            <w:sz w:val="26"/>
                            <w:szCs w:val="26"/>
                          </w:rPr>
                          <w:t>UnionsbürgerInnen</w:t>
                        </w:r>
                        <w:proofErr w:type="spellEnd"/>
                        <w:r>
                          <w:rPr>
                            <w:rFonts w:ascii="Arial" w:hAnsi="Arial" w:cs="Arial"/>
                            <w:color w:val="03303E"/>
                            <w:sz w:val="26"/>
                            <w:szCs w:val="26"/>
                          </w:rPr>
                          <w:t xml:space="preserve"> mit Hauptwohnsitz in Österreich sowie </w:t>
                        </w:r>
                        <w:proofErr w:type="spellStart"/>
                        <w:r>
                          <w:rPr>
                            <w:rFonts w:ascii="Arial" w:hAnsi="Arial" w:cs="Arial"/>
                            <w:color w:val="03303E"/>
                            <w:sz w:val="26"/>
                            <w:szCs w:val="26"/>
                          </w:rPr>
                          <w:t>AuslandsösterreicherInnen</w:t>
                        </w:r>
                        <w:proofErr w:type="spellEnd"/>
                        <w:r>
                          <w:rPr>
                            <w:rFonts w:ascii="Arial" w:hAnsi="Arial" w:cs="Arial"/>
                            <w:color w:val="03303E"/>
                            <w:sz w:val="26"/>
                            <w:szCs w:val="26"/>
                          </w:rPr>
                          <w:t xml:space="preserve"> wählen, die spätestens am Tag der Wahl das 16. Lebensjahr vollenden – also spätestens an diesem Tag ihren 16. Geburtstag feiern – und in die Europa-Wählerevidenz einer österreichischen Gemeinde eingetragen sind. Zudem darf kein Wahlausschließungsgrund im Zusammenhang mit einer strafgerichtlichen Verurteilung vorliegen.</w:t>
                        </w:r>
                      </w:p>
                      <w:p w14:paraId="54023C2D"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lastRenderedPageBreak/>
                          <w:t> </w:t>
                        </w:r>
                      </w:p>
                      <w:p w14:paraId="74CB72B8"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 xml:space="preserve">Die Wählerverzeichnisse liegen ab Dienstag, 16. April 2024, in Gemeinden zur öffentlichen Einsicht auf. In Gemeinden, in denen eine Hauskundmachung erfolgt, liegen die Wählerverzeichnisse jedenfalls ab Freitag, 19. April 2024 zur öffentlichen Einsicht auf. Innerhalb des Einsichtszeitraums kann jede/r </w:t>
                        </w:r>
                        <w:proofErr w:type="spellStart"/>
                        <w:r>
                          <w:rPr>
                            <w:rFonts w:ascii="Arial" w:hAnsi="Arial" w:cs="Arial"/>
                            <w:color w:val="03303E"/>
                            <w:sz w:val="26"/>
                            <w:szCs w:val="26"/>
                          </w:rPr>
                          <w:t>UnionsbürgerIn</w:t>
                        </w:r>
                        <w:proofErr w:type="spellEnd"/>
                        <w:r>
                          <w:rPr>
                            <w:rFonts w:ascii="Arial" w:hAnsi="Arial" w:cs="Arial"/>
                            <w:color w:val="03303E"/>
                            <w:sz w:val="26"/>
                            <w:szCs w:val="26"/>
                          </w:rPr>
                          <w:t xml:space="preserve"> unter Angabe des Namens und der Wohnadresse bei der zuständigen Amtsstelle schriftlich oder mündlich Berichtigungsanträge zum Wählerverzeichnis stellen. Diese Anträge müssen bei der zuständigen Stelle innerhalb des Einsichtszeitraumes bis spätestens Donnerstag, 25. April 2024, einlangen.</w:t>
                        </w:r>
                      </w:p>
                      <w:p w14:paraId="3BFCFE05"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 xml:space="preserve">Wo kann gewählt werden? </w:t>
                        </w:r>
                      </w:p>
                      <w:p w14:paraId="73A9E559"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In jeder der 277 Tiroler Gemeinden findet sich ein Wahllokal. In größeren Gemeinden können es auch mehrere sein. Am Wahltag dürfen Wahlberechtigte nur in jenem Wahllokal in ihrer Hauptwohnsitzgemeinde wählen, in der sie auch im Wählerverzeichnis gelistet sind (dort, wo man am Stichtag 26. März 2024 den Hauptwohnsitz gemeldet hat). Mit einer sogenannten „offenen“ Wahlkarte, also einer Wahlkarte, die nicht zugeklebt und/oder bei der die eidesstattliche Erklärung noch nicht unterschrieben wurde, ist eine Stimmabgabe am Wahltag in jedem Wahllokal in ganz Österreich möglich. Informationen zur Adresse bzw. den Öffnungszeiten aller Tiroler Wahllokale bekommen Wahlberechtigte von ihrer Gemeinde.</w:t>
                        </w:r>
                      </w:p>
                      <w:p w14:paraId="57D077E0"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Wahlkarten schriftlich oder mündlich beantragen</w:t>
                        </w:r>
                      </w:p>
                      <w:p w14:paraId="73939F9E"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Bereits im Vorfeld des 9. Juni ist auch die Stimmabgabe per Briefwahl möglich. Bereits jetzt können Wahlberechtigte, die am Wahltag voraussichtlich aus gesundheitlichen oder anderen Gründen verhindert sind, eine Wahlkarte beantragen. Die Ausstellung der Wahlkarten beginnt voraussichtlich ab Mitte Mai. Die Wahlkarte kann schriftlich oder mündlich beantragt werden.</w:t>
                        </w:r>
                      </w:p>
                      <w:p w14:paraId="015F690A"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 xml:space="preserve">Die </w:t>
                        </w:r>
                        <w:r>
                          <w:rPr>
                            <w:rStyle w:val="Fett"/>
                            <w:rFonts w:ascii="Arial" w:hAnsi="Arial" w:cs="Arial"/>
                            <w:color w:val="03303E"/>
                            <w:sz w:val="26"/>
                            <w:szCs w:val="26"/>
                          </w:rPr>
                          <w:t>mündliche Beantragung</w:t>
                        </w:r>
                        <w:r>
                          <w:rPr>
                            <w:rFonts w:ascii="Arial" w:hAnsi="Arial" w:cs="Arial"/>
                            <w:color w:val="03303E"/>
                            <w:sz w:val="26"/>
                            <w:szCs w:val="26"/>
                          </w:rPr>
                          <w:t xml:space="preserve"> der Wahlkarte ist in der eigenen Hauptwohnsitzgemeinde bis Freitag, 7. Juni, 12 Uhr, möglich. Bei der Europawahl 2024 ist es erstmals möglich, die Wahlkarte direkt nach der Abholung im Gemeindeamt auszufüllen und unmittelbar im Anschluss wieder abzugeben.</w:t>
                        </w:r>
                      </w:p>
                      <w:p w14:paraId="444D42D4"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 xml:space="preserve">Die </w:t>
                        </w:r>
                        <w:r>
                          <w:rPr>
                            <w:rStyle w:val="Fett"/>
                            <w:rFonts w:ascii="Arial" w:hAnsi="Arial" w:cs="Arial"/>
                            <w:color w:val="03303E"/>
                            <w:sz w:val="26"/>
                            <w:szCs w:val="26"/>
                          </w:rPr>
                          <w:t>schriftliche Beantragung</w:t>
                        </w:r>
                        <w:r>
                          <w:rPr>
                            <w:rFonts w:ascii="Arial" w:hAnsi="Arial" w:cs="Arial"/>
                            <w:color w:val="03303E"/>
                            <w:sz w:val="26"/>
                            <w:szCs w:val="26"/>
                          </w:rPr>
                          <w:t xml:space="preserve"> ist unter anderem auf dem Postweg sowie per E-Mail an die eigene Gemeinde oder auch im Internet unter </w:t>
                        </w:r>
                        <w:hyperlink r:id="rId8" w:history="1">
                          <w:r>
                            <w:rPr>
                              <w:rStyle w:val="Hyperlink"/>
                              <w:rFonts w:ascii="Arial" w:hAnsi="Arial" w:cs="Arial"/>
                              <w:sz w:val="26"/>
                              <w:szCs w:val="26"/>
                            </w:rPr>
                            <w:t>www.wahlkartenantrag.at</w:t>
                          </w:r>
                        </w:hyperlink>
                        <w:r>
                          <w:rPr>
                            <w:rFonts w:ascii="Arial" w:hAnsi="Arial" w:cs="Arial"/>
                            <w:color w:val="03303E"/>
                            <w:sz w:val="26"/>
                            <w:szCs w:val="26"/>
                          </w:rPr>
                          <w:t xml:space="preserve"> bis spätestens Mittwoch, 5. Juni 2024, möglich. Wenn eine persönliche Übergabe an eine vom Antragsteller bevollmächtigte Person möglich ist, kann der schriftliche Antrag auch bis Freitag, 7. Juni, 12 Uhr gestellt werden.</w:t>
                        </w:r>
                      </w:p>
                      <w:p w14:paraId="6309A092"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lastRenderedPageBreak/>
                          <w:t xml:space="preserve">Mehr Informationen zur Europawahl finden sich unter </w:t>
                        </w:r>
                        <w:hyperlink r:id="rId9" w:history="1">
                          <w:r>
                            <w:rPr>
                              <w:rStyle w:val="Hyperlink"/>
                              <w:rFonts w:ascii="Arial" w:hAnsi="Arial" w:cs="Arial"/>
                              <w:sz w:val="26"/>
                              <w:szCs w:val="26"/>
                            </w:rPr>
                            <w:t>www.tirol.gv.at/europawahl2024</w:t>
                          </w:r>
                        </w:hyperlink>
                        <w:r>
                          <w:rPr>
                            <w:rFonts w:ascii="Arial" w:hAnsi="Arial" w:cs="Arial"/>
                            <w:color w:val="03303E"/>
                            <w:sz w:val="26"/>
                            <w:szCs w:val="26"/>
                          </w:rPr>
                          <w:t>.</w:t>
                        </w:r>
                      </w:p>
                      <w:p w14:paraId="0361F961"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#UseYourVote – Podiumsdiskussion zur Europawahl</w:t>
                        </w:r>
                      </w:p>
                      <w:p w14:paraId="60A8A6C6" w14:textId="77777777" w:rsidR="00AD5742" w:rsidRDefault="00AD5742">
                        <w:pPr>
                          <w:pStyle w:val="StandardWeb"/>
                          <w:spacing w:line="300" w:lineRule="atLeast"/>
                          <w:rPr>
                            <w:rFonts w:ascii="Arial" w:hAnsi="Arial" w:cs="Arial"/>
                            <w:color w:val="03303E"/>
                            <w:sz w:val="26"/>
                            <w:szCs w:val="26"/>
                          </w:rPr>
                        </w:pPr>
                        <w:r>
                          <w:rPr>
                            <w:rFonts w:ascii="Arial" w:hAnsi="Arial" w:cs="Arial"/>
                            <w:color w:val="03303E"/>
                            <w:sz w:val="26"/>
                            <w:szCs w:val="26"/>
                          </w:rPr>
                          <w:t xml:space="preserve">Welche Bedeutung hat das EU-Parlament für die Regionen? Welche Vorurteile und Fehleinschätzungen kursieren rund um die Institution? Wie blicken JournalistInnen auf die Wahl im Juni? Um Fragen wie diese geht es am Montag, 22. April 2024, im Rahmen einer vom Euregio-Campus Innsbruck und der Europaregion Tirol-Südtirol-Trentino organisierten Podiumsdiskussion zur Europawahl. Diese findet ab 18 Uhr im Seminarraum in der Erzherzog-Eugen-Straße 39 in Innsbruck statt. Zu den Vortragenden gehören </w:t>
                        </w:r>
                        <w:r>
                          <w:rPr>
                            <w:rStyle w:val="Fett"/>
                            <w:rFonts w:ascii="Arial" w:hAnsi="Arial" w:cs="Arial"/>
                            <w:color w:val="03303E"/>
                            <w:sz w:val="26"/>
                            <w:szCs w:val="26"/>
                          </w:rPr>
                          <w:t>Andreas Maurer</w:t>
                        </w:r>
                        <w:r>
                          <w:rPr>
                            <w:rFonts w:ascii="Arial" w:hAnsi="Arial" w:cs="Arial"/>
                            <w:color w:val="03303E"/>
                            <w:sz w:val="26"/>
                            <w:szCs w:val="26"/>
                          </w:rPr>
                          <w:t xml:space="preserve">, Professor für Politikwissenschaft an der Universität Innsbruck, </w:t>
                        </w:r>
                        <w:r>
                          <w:rPr>
                            <w:rStyle w:val="Fett"/>
                            <w:rFonts w:ascii="Arial" w:hAnsi="Arial" w:cs="Arial"/>
                            <w:color w:val="03303E"/>
                            <w:sz w:val="26"/>
                            <w:szCs w:val="26"/>
                          </w:rPr>
                          <w:t xml:space="preserve">Katharina von </w:t>
                        </w:r>
                        <w:proofErr w:type="spellStart"/>
                        <w:r>
                          <w:rPr>
                            <w:rStyle w:val="Fett"/>
                            <w:rFonts w:ascii="Arial" w:hAnsi="Arial" w:cs="Arial"/>
                            <w:color w:val="03303E"/>
                            <w:sz w:val="26"/>
                            <w:szCs w:val="26"/>
                          </w:rPr>
                          <w:t>Tschurtschenthaler</w:t>
                        </w:r>
                        <w:proofErr w:type="spellEnd"/>
                        <w:r>
                          <w:rPr>
                            <w:rFonts w:ascii="Arial" w:hAnsi="Arial" w:cs="Arial"/>
                            <w:color w:val="03303E"/>
                            <w:sz w:val="26"/>
                            <w:szCs w:val="26"/>
                          </w:rPr>
                          <w:t xml:space="preserve">, Journalistin der ARD, und </w:t>
                        </w:r>
                        <w:r>
                          <w:rPr>
                            <w:rStyle w:val="Fett"/>
                            <w:rFonts w:ascii="Arial" w:hAnsi="Arial" w:cs="Arial"/>
                            <w:color w:val="03303E"/>
                            <w:sz w:val="26"/>
                            <w:szCs w:val="26"/>
                          </w:rPr>
                          <w:t>Michael Wolf</w:t>
                        </w:r>
                        <w:r>
                          <w:rPr>
                            <w:rFonts w:ascii="Arial" w:hAnsi="Arial" w:cs="Arial"/>
                            <w:color w:val="03303E"/>
                            <w:sz w:val="26"/>
                            <w:szCs w:val="26"/>
                          </w:rPr>
                          <w:t xml:space="preserve">, Mitarbeiter der Vertretung der Euregio Tirol-Südtirol-Trentino in Brüssel. Die Teilnahme an der Veranstaltung ist kostenlos. Es wird um Anmeldung bis Donnerstag, 18. April 2024, unter </w:t>
                        </w:r>
                        <w:hyperlink r:id="rId10" w:history="1">
                          <w:r>
                            <w:rPr>
                              <w:rStyle w:val="Hyperlink"/>
                              <w:rFonts w:ascii="Arial" w:hAnsi="Arial" w:cs="Arial"/>
                              <w:sz w:val="26"/>
                              <w:szCs w:val="26"/>
                            </w:rPr>
                            <w:t>euregio@tirol.gv.at</w:t>
                          </w:r>
                        </w:hyperlink>
                        <w:r>
                          <w:rPr>
                            <w:rFonts w:ascii="Arial" w:hAnsi="Arial" w:cs="Arial"/>
                            <w:color w:val="03303E"/>
                            <w:sz w:val="26"/>
                            <w:szCs w:val="26"/>
                          </w:rPr>
                          <w:t xml:space="preserve"> gebeten.</w:t>
                        </w:r>
                      </w:p>
                      <w:p w14:paraId="4112DE09"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Was?</w:t>
                        </w:r>
                        <w:r>
                          <w:rPr>
                            <w:rFonts w:ascii="Arial" w:hAnsi="Arial" w:cs="Arial"/>
                            <w:color w:val="03303E"/>
                            <w:sz w:val="26"/>
                            <w:szCs w:val="26"/>
                          </w:rPr>
                          <w:t xml:space="preserve"> Podiumsdiskussion zur Europawahl</w:t>
                        </w:r>
                      </w:p>
                      <w:p w14:paraId="0BDCCC86"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Wann?</w:t>
                        </w:r>
                        <w:r>
                          <w:rPr>
                            <w:rFonts w:ascii="Arial" w:hAnsi="Arial" w:cs="Arial"/>
                            <w:color w:val="03303E"/>
                            <w:sz w:val="26"/>
                            <w:szCs w:val="26"/>
                          </w:rPr>
                          <w:t xml:space="preserve"> Montag, 22. April 2024, 18 Uhr</w:t>
                        </w:r>
                      </w:p>
                      <w:p w14:paraId="309EEE92"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Wo?</w:t>
                        </w:r>
                        <w:r>
                          <w:rPr>
                            <w:rFonts w:ascii="Arial" w:hAnsi="Arial" w:cs="Arial"/>
                            <w:color w:val="03303E"/>
                            <w:sz w:val="26"/>
                            <w:szCs w:val="26"/>
                          </w:rPr>
                          <w:t xml:space="preserve"> Seminarraum, Erzherzog-Eugen-Straße 39, 6020 Innsbruck</w:t>
                        </w:r>
                      </w:p>
                      <w:p w14:paraId="5C33323A" w14:textId="77777777" w:rsidR="00AD5742" w:rsidRDefault="00AD5742">
                        <w:pPr>
                          <w:pStyle w:val="StandardWeb"/>
                          <w:spacing w:line="300" w:lineRule="atLeast"/>
                          <w:rPr>
                            <w:rFonts w:ascii="Arial" w:hAnsi="Arial" w:cs="Arial"/>
                            <w:color w:val="03303E"/>
                            <w:sz w:val="26"/>
                            <w:szCs w:val="26"/>
                          </w:rPr>
                        </w:pPr>
                        <w:r>
                          <w:rPr>
                            <w:rStyle w:val="Fett"/>
                            <w:rFonts w:ascii="Arial" w:hAnsi="Arial" w:cs="Arial"/>
                            <w:color w:val="03303E"/>
                            <w:sz w:val="26"/>
                            <w:szCs w:val="26"/>
                          </w:rPr>
                          <w:t xml:space="preserve">Anmeldung </w:t>
                        </w:r>
                        <w:r>
                          <w:rPr>
                            <w:rFonts w:ascii="Arial" w:hAnsi="Arial" w:cs="Arial"/>
                            <w:color w:val="03303E"/>
                            <w:sz w:val="26"/>
                            <w:szCs w:val="26"/>
                          </w:rPr>
                          <w:t xml:space="preserve">bis Donnerstag, 18. April 2024, unter </w:t>
                        </w:r>
                        <w:hyperlink r:id="rId11" w:history="1">
                          <w:r>
                            <w:rPr>
                              <w:rStyle w:val="Hyperlink"/>
                              <w:rFonts w:ascii="Arial" w:hAnsi="Arial" w:cs="Arial"/>
                              <w:sz w:val="26"/>
                              <w:szCs w:val="26"/>
                            </w:rPr>
                            <w:t>euregio@tirol.gv.at</w:t>
                          </w:r>
                        </w:hyperlink>
                      </w:p>
                    </w:tc>
                  </w:tr>
                  <w:tr w:rsidR="00AD5742" w14:paraId="41C4259F"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7500"/>
                        </w:tblGrid>
                        <w:tr w:rsidR="00AD5742" w14:paraId="322D9BA5" w14:textId="77777777">
                          <w:tc>
                            <w:tcPr>
                              <w:tcW w:w="0" w:type="auto"/>
                              <w:vAlign w:val="center"/>
                              <w:hideMark/>
                            </w:tcPr>
                            <w:p w14:paraId="22EE7C91" w14:textId="77777777" w:rsidR="00AD5742" w:rsidRDefault="00AD5742">
                              <w:pPr>
                                <w:rPr>
                                  <w:rFonts w:ascii="Arial" w:hAnsi="Arial" w:cs="Arial"/>
                                  <w:color w:val="03303E"/>
                                  <w:sz w:val="26"/>
                                  <w:szCs w:val="26"/>
                                </w:rPr>
                              </w:pPr>
                            </w:p>
                          </w:tc>
                        </w:tr>
                      </w:tbl>
                      <w:p w14:paraId="1AB8E209" w14:textId="77777777" w:rsidR="00AD5742" w:rsidRDefault="00AD5742">
                        <w:pPr>
                          <w:rPr>
                            <w:rFonts w:eastAsia="Times New Roman"/>
                            <w:sz w:val="20"/>
                            <w:szCs w:val="20"/>
                          </w:rPr>
                        </w:pPr>
                      </w:p>
                    </w:tc>
                  </w:tr>
                  <w:tr w:rsidR="00AD5742" w14:paraId="76D2C77A" w14:textId="77777777">
                    <w:trPr>
                      <w:jc w:val="center"/>
                    </w:trPr>
                    <w:tc>
                      <w:tcPr>
                        <w:tcW w:w="0" w:type="auto"/>
                        <w:vAlign w:val="center"/>
                        <w:hideMark/>
                      </w:tcPr>
                      <w:p w14:paraId="1CE42100" w14:textId="77777777" w:rsidR="00AD5742" w:rsidRDefault="00AD5742">
                        <w:pPr>
                          <w:rPr>
                            <w:rFonts w:eastAsia="Times New Roman"/>
                            <w:sz w:val="20"/>
                            <w:szCs w:val="20"/>
                          </w:rPr>
                        </w:pPr>
                      </w:p>
                    </w:tc>
                  </w:tr>
                  <w:tr w:rsidR="00AD5742" w14:paraId="79022B2B" w14:textId="77777777">
                    <w:trPr>
                      <w:jc w:val="center"/>
                    </w:trPr>
                    <w:tc>
                      <w:tcPr>
                        <w:tcW w:w="0" w:type="auto"/>
                        <w:vAlign w:val="center"/>
                        <w:hideMark/>
                      </w:tcPr>
                      <w:p w14:paraId="0F3B824B" w14:textId="77777777" w:rsidR="00AD5742" w:rsidRDefault="00AD5742">
                        <w:pPr>
                          <w:spacing w:line="300" w:lineRule="atLeast"/>
                          <w:rPr>
                            <w:rFonts w:ascii="Arial" w:hAnsi="Arial" w:cs="Arial"/>
                            <w:color w:val="03303E"/>
                            <w:sz w:val="26"/>
                            <w:szCs w:val="26"/>
                          </w:rPr>
                        </w:pPr>
                        <w:r>
                          <w:rPr>
                            <w:rFonts w:ascii="Arial" w:hAnsi="Arial" w:cs="Arial"/>
                            <w:color w:val="03303E"/>
                            <w:sz w:val="26"/>
                            <w:szCs w:val="26"/>
                          </w:rPr>
                          <w:br/>
                        </w:r>
                        <w:r>
                          <w:rPr>
                            <w:rFonts w:ascii="Arial" w:hAnsi="Arial" w:cs="Arial"/>
                            <w:color w:val="03303E"/>
                            <w:sz w:val="26"/>
                            <w:szCs w:val="26"/>
                          </w:rPr>
                          <w:br/>
                        </w:r>
                        <w:r>
                          <w:rPr>
                            <w:rStyle w:val="Fett"/>
                            <w:rFonts w:ascii="Arial" w:hAnsi="Arial" w:cs="Arial"/>
                            <w:color w:val="03303E"/>
                            <w:sz w:val="26"/>
                            <w:szCs w:val="26"/>
                          </w:rPr>
                          <w:t>Rückfragehinweis:</w:t>
                        </w:r>
                        <w:r>
                          <w:rPr>
                            <w:rFonts w:ascii="Arial" w:hAnsi="Arial" w:cs="Arial"/>
                            <w:color w:val="03303E"/>
                            <w:sz w:val="26"/>
                            <w:szCs w:val="26"/>
                          </w:rPr>
                          <w:br/>
                          <w:t xml:space="preserve">Konrad Pölzl, MA </w:t>
                        </w:r>
                        <w:r>
                          <w:rPr>
                            <w:rFonts w:ascii="Arial" w:hAnsi="Arial" w:cs="Arial"/>
                            <w:color w:val="03303E"/>
                            <w:sz w:val="26"/>
                            <w:szCs w:val="26"/>
                          </w:rPr>
                          <w:br/>
                          <w:t xml:space="preserve">Telefon +43 512 508 1913 </w:t>
                        </w:r>
                        <w:r>
                          <w:rPr>
                            <w:rFonts w:ascii="Arial" w:hAnsi="Arial" w:cs="Arial"/>
                            <w:color w:val="03303E"/>
                            <w:sz w:val="26"/>
                            <w:szCs w:val="26"/>
                          </w:rPr>
                          <w:br/>
                          <w:t xml:space="preserve">E-Mail </w:t>
                        </w:r>
                        <w:hyperlink r:id="rId12" w:history="1">
                          <w:r>
                            <w:rPr>
                              <w:rStyle w:val="Hyperlink"/>
                              <w:rFonts w:ascii="Arial" w:hAnsi="Arial" w:cs="Arial"/>
                              <w:sz w:val="26"/>
                              <w:szCs w:val="26"/>
                            </w:rPr>
                            <w:t>konrad.poelzl@tirol.gv.at</w:t>
                          </w:r>
                        </w:hyperlink>
                        <w:r>
                          <w:rPr>
                            <w:rFonts w:ascii="Arial" w:hAnsi="Arial" w:cs="Arial"/>
                            <w:color w:val="03303E"/>
                            <w:sz w:val="26"/>
                            <w:szCs w:val="26"/>
                          </w:rPr>
                          <w:t xml:space="preserve"> </w:t>
                        </w:r>
                      </w:p>
                    </w:tc>
                  </w:tr>
                  <w:tr w:rsidR="00AD5742" w14:paraId="04C0287A" w14:textId="77777777">
                    <w:trPr>
                      <w:trHeight w:val="300"/>
                      <w:jc w:val="center"/>
                    </w:trPr>
                    <w:tc>
                      <w:tcPr>
                        <w:tcW w:w="0" w:type="auto"/>
                        <w:vAlign w:val="center"/>
                        <w:hideMark/>
                      </w:tcPr>
                      <w:p w14:paraId="633F0C1A" w14:textId="77777777" w:rsidR="00AD5742" w:rsidRDefault="00AD5742">
                        <w:pPr>
                          <w:spacing w:line="300" w:lineRule="atLeast"/>
                          <w:rPr>
                            <w:rFonts w:ascii="Arial" w:hAnsi="Arial" w:cs="Arial"/>
                            <w:color w:val="03303E"/>
                            <w:sz w:val="26"/>
                            <w:szCs w:val="26"/>
                          </w:rPr>
                        </w:pPr>
                        <w:r>
                          <w:rPr>
                            <w:rFonts w:ascii="Arial" w:hAnsi="Arial" w:cs="Arial"/>
                            <w:color w:val="03303E"/>
                            <w:sz w:val="26"/>
                            <w:szCs w:val="26"/>
                          </w:rPr>
                          <w:t> </w:t>
                        </w:r>
                      </w:p>
                    </w:tc>
                  </w:tr>
                </w:tbl>
                <w:p w14:paraId="5ADD7A6E" w14:textId="77777777" w:rsidR="00AD5742" w:rsidRDefault="00AD5742">
                  <w:pPr>
                    <w:jc w:val="center"/>
                    <w:rPr>
                      <w:rFonts w:eastAsia="Times New Roman"/>
                      <w:sz w:val="20"/>
                      <w:szCs w:val="20"/>
                    </w:rPr>
                  </w:pPr>
                </w:p>
              </w:tc>
            </w:tr>
          </w:tbl>
          <w:p w14:paraId="30E0EFB7" w14:textId="77777777" w:rsidR="00AD5742" w:rsidRDefault="00AD5742">
            <w:pPr>
              <w:jc w:val="center"/>
              <w:rPr>
                <w:rFonts w:eastAsia="Times New Roman"/>
                <w:sz w:val="20"/>
                <w:szCs w:val="20"/>
              </w:rPr>
            </w:pPr>
          </w:p>
        </w:tc>
      </w:tr>
      <w:tr w:rsidR="00AD5742" w14:paraId="7160312E" w14:textId="77777777" w:rsidTr="00AD5742">
        <w:tc>
          <w:tcPr>
            <w:tcW w:w="5000" w:type="pct"/>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D5742" w14:paraId="73627B17" w14:textId="77777777">
              <w:trPr>
                <w:trHeight w:val="420"/>
                <w:jc w:val="center"/>
              </w:trPr>
              <w:tc>
                <w:tcPr>
                  <w:tcW w:w="0" w:type="auto"/>
                  <w:tcBorders>
                    <w:top w:val="nil"/>
                    <w:left w:val="single" w:sz="8" w:space="0" w:color="03303E"/>
                    <w:bottom w:val="single" w:sz="8" w:space="0" w:color="03303E"/>
                    <w:right w:val="single" w:sz="8" w:space="0" w:color="03303E"/>
                  </w:tcBorders>
                  <w:shd w:val="clear" w:color="auto" w:fill="D6E9F6"/>
                  <w:vAlign w:val="center"/>
                  <w:hideMark/>
                </w:tcPr>
                <w:tbl>
                  <w:tblPr>
                    <w:tblW w:w="7500" w:type="dxa"/>
                    <w:jc w:val="center"/>
                    <w:tblCellMar>
                      <w:left w:w="0" w:type="dxa"/>
                      <w:right w:w="0" w:type="dxa"/>
                    </w:tblCellMar>
                    <w:tblLook w:val="04A0" w:firstRow="1" w:lastRow="0" w:firstColumn="1" w:lastColumn="0" w:noHBand="0" w:noVBand="1"/>
                  </w:tblPr>
                  <w:tblGrid>
                    <w:gridCol w:w="2550"/>
                    <w:gridCol w:w="2475"/>
                    <w:gridCol w:w="2475"/>
                  </w:tblGrid>
                  <w:tr w:rsidR="00AD5742" w14:paraId="2FF21D8F" w14:textId="77777777">
                    <w:trPr>
                      <w:trHeight w:val="250"/>
                      <w:jc w:val="center"/>
                    </w:trPr>
                    <w:tc>
                      <w:tcPr>
                        <w:tcW w:w="0" w:type="auto"/>
                        <w:gridSpan w:val="3"/>
                        <w:vAlign w:val="center"/>
                        <w:hideMark/>
                      </w:tcPr>
                      <w:p w14:paraId="322AD31F" w14:textId="77777777" w:rsidR="00AD5742" w:rsidRDefault="00AD5742">
                        <w:pPr>
                          <w:rPr>
                            <w:rFonts w:eastAsia="Times New Roman"/>
                            <w:sz w:val="20"/>
                            <w:szCs w:val="20"/>
                          </w:rPr>
                        </w:pPr>
                      </w:p>
                    </w:tc>
                  </w:tr>
                  <w:tr w:rsidR="00AD5742" w14:paraId="152081C1" w14:textId="77777777">
                    <w:trPr>
                      <w:jc w:val="center"/>
                    </w:trPr>
                    <w:tc>
                      <w:tcPr>
                        <w:tcW w:w="0" w:type="auto"/>
                        <w:gridSpan w:val="3"/>
                        <w:vAlign w:val="center"/>
                        <w:hideMark/>
                      </w:tcPr>
                      <w:p w14:paraId="7664D3DB" w14:textId="77777777" w:rsidR="00AD5742" w:rsidRDefault="00AD5742">
                        <w:pPr>
                          <w:spacing w:line="225" w:lineRule="atLeast"/>
                          <w:rPr>
                            <w:rFonts w:ascii="Arial" w:hAnsi="Arial" w:cs="Arial"/>
                            <w:color w:val="03303E"/>
                            <w:sz w:val="18"/>
                            <w:szCs w:val="18"/>
                          </w:rPr>
                        </w:pPr>
                        <w:r>
                          <w:rPr>
                            <w:rStyle w:val="Fett"/>
                            <w:rFonts w:ascii="Arial" w:hAnsi="Arial" w:cs="Arial"/>
                            <w:color w:val="03303E"/>
                            <w:sz w:val="18"/>
                            <w:szCs w:val="18"/>
                          </w:rPr>
                          <w:t>Land Tirol, Abteilung Öffentlichkeitsarbeit</w:t>
                        </w:r>
                        <w:r>
                          <w:rPr>
                            <w:rFonts w:ascii="Arial" w:hAnsi="Arial" w:cs="Arial"/>
                            <w:color w:val="03303E"/>
                            <w:sz w:val="18"/>
                            <w:szCs w:val="18"/>
                          </w:rPr>
                          <w:br/>
                          <w:t>Eduard-Wallnöfer-Platz 3, 6020 Innsbruck</w:t>
                        </w:r>
                        <w:r>
                          <w:rPr>
                            <w:rFonts w:ascii="Arial" w:hAnsi="Arial" w:cs="Arial"/>
                            <w:color w:val="03303E"/>
                            <w:sz w:val="18"/>
                            <w:szCs w:val="18"/>
                          </w:rPr>
                          <w:br/>
                          <w:t xml:space="preserve">Tel: </w:t>
                        </w:r>
                        <w:hyperlink r:id="rId13" w:history="1">
                          <w:r>
                            <w:rPr>
                              <w:rStyle w:val="Hyperlink"/>
                              <w:rFonts w:ascii="Arial" w:hAnsi="Arial" w:cs="Arial"/>
                              <w:color w:val="03303E"/>
                              <w:sz w:val="18"/>
                              <w:szCs w:val="18"/>
                            </w:rPr>
                            <w:t>+43 512 508 1902</w:t>
                          </w:r>
                        </w:hyperlink>
                        <w:r>
                          <w:rPr>
                            <w:rFonts w:ascii="Arial" w:hAnsi="Arial" w:cs="Arial"/>
                            <w:color w:val="03303E"/>
                            <w:sz w:val="18"/>
                            <w:szCs w:val="18"/>
                          </w:rPr>
                          <w:t xml:space="preserve"> | Fax +43 512 508 741905 | E-Mail: </w:t>
                        </w:r>
                        <w:hyperlink r:id="rId14" w:history="1">
                          <w:r>
                            <w:rPr>
                              <w:rStyle w:val="Hyperlink"/>
                              <w:rFonts w:ascii="Arial" w:hAnsi="Arial" w:cs="Arial"/>
                              <w:color w:val="03303E"/>
                              <w:sz w:val="18"/>
                              <w:szCs w:val="18"/>
                            </w:rPr>
                            <w:t>pr@tirol.gv.at</w:t>
                          </w:r>
                        </w:hyperlink>
                        <w:r>
                          <w:rPr>
                            <w:rFonts w:ascii="Arial" w:hAnsi="Arial" w:cs="Arial"/>
                            <w:color w:val="03303E"/>
                            <w:sz w:val="18"/>
                            <w:szCs w:val="18"/>
                          </w:rPr>
                          <w:t xml:space="preserve"> | DVR: 0059463</w:t>
                        </w:r>
                      </w:p>
                    </w:tc>
                  </w:tr>
                  <w:tr w:rsidR="00AD5742" w14:paraId="50FE9F74" w14:textId="77777777">
                    <w:trPr>
                      <w:jc w:val="center"/>
                    </w:trPr>
                    <w:tc>
                      <w:tcPr>
                        <w:tcW w:w="1700" w:type="pct"/>
                        <w:vAlign w:val="center"/>
                        <w:hideMark/>
                      </w:tcPr>
                      <w:p w14:paraId="1B1E9312" w14:textId="77777777" w:rsidR="00AD5742" w:rsidRDefault="00AD5742">
                        <w:pPr>
                          <w:spacing w:line="225" w:lineRule="atLeast"/>
                          <w:rPr>
                            <w:rFonts w:ascii="Arial" w:hAnsi="Arial" w:cs="Arial"/>
                            <w:color w:val="03303E"/>
                            <w:sz w:val="18"/>
                            <w:szCs w:val="18"/>
                          </w:rPr>
                        </w:pPr>
                        <w:hyperlink r:id="rId15" w:tgtFrame="_blank" w:history="1">
                          <w:r>
                            <w:rPr>
                              <w:rStyle w:val="Hyperlink"/>
                              <w:rFonts w:ascii="Arial" w:hAnsi="Arial" w:cs="Arial"/>
                              <w:color w:val="03303E"/>
                              <w:sz w:val="18"/>
                              <w:szCs w:val="18"/>
                            </w:rPr>
                            <w:t>Impressum</w:t>
                          </w:r>
                        </w:hyperlink>
                      </w:p>
                    </w:tc>
                    <w:tc>
                      <w:tcPr>
                        <w:tcW w:w="1650" w:type="pct"/>
                        <w:vAlign w:val="center"/>
                        <w:hideMark/>
                      </w:tcPr>
                      <w:p w14:paraId="7EFCD7BA" w14:textId="77777777" w:rsidR="00AD5742" w:rsidRDefault="00AD5742">
                        <w:pPr>
                          <w:rPr>
                            <w:rFonts w:ascii="Arial" w:hAnsi="Arial" w:cs="Arial"/>
                            <w:color w:val="03303E"/>
                            <w:sz w:val="18"/>
                            <w:szCs w:val="18"/>
                          </w:rPr>
                        </w:pPr>
                      </w:p>
                    </w:tc>
                    <w:tc>
                      <w:tcPr>
                        <w:tcW w:w="0" w:type="auto"/>
                        <w:vAlign w:val="center"/>
                        <w:hideMark/>
                      </w:tcPr>
                      <w:p w14:paraId="44ECF1A2" w14:textId="77777777" w:rsidR="00AD5742" w:rsidRDefault="00AD5742">
                        <w:pPr>
                          <w:rPr>
                            <w:rFonts w:eastAsia="Times New Roman"/>
                            <w:sz w:val="20"/>
                            <w:szCs w:val="20"/>
                          </w:rPr>
                        </w:pPr>
                      </w:p>
                    </w:tc>
                  </w:tr>
                  <w:tr w:rsidR="00AD5742" w14:paraId="27D3029F" w14:textId="77777777">
                    <w:trPr>
                      <w:trHeight w:val="250"/>
                      <w:jc w:val="center"/>
                    </w:trPr>
                    <w:tc>
                      <w:tcPr>
                        <w:tcW w:w="0" w:type="auto"/>
                        <w:gridSpan w:val="3"/>
                        <w:vAlign w:val="center"/>
                        <w:hideMark/>
                      </w:tcPr>
                      <w:p w14:paraId="5338098B" w14:textId="77777777" w:rsidR="00AD5742" w:rsidRDefault="00AD5742">
                        <w:pPr>
                          <w:rPr>
                            <w:rFonts w:eastAsia="Times New Roman"/>
                            <w:sz w:val="20"/>
                            <w:szCs w:val="20"/>
                          </w:rPr>
                        </w:pPr>
                      </w:p>
                    </w:tc>
                  </w:tr>
                </w:tbl>
                <w:p w14:paraId="65186188" w14:textId="77777777" w:rsidR="00AD5742" w:rsidRDefault="00AD5742">
                  <w:pPr>
                    <w:jc w:val="center"/>
                    <w:rPr>
                      <w:rFonts w:eastAsia="Times New Roman"/>
                      <w:sz w:val="20"/>
                      <w:szCs w:val="20"/>
                    </w:rPr>
                  </w:pPr>
                </w:p>
              </w:tc>
            </w:tr>
          </w:tbl>
          <w:p w14:paraId="241915A5" w14:textId="77777777" w:rsidR="00AD5742" w:rsidRDefault="00AD5742">
            <w:pPr>
              <w:jc w:val="center"/>
              <w:rPr>
                <w:rFonts w:eastAsia="Times New Roman"/>
                <w:sz w:val="20"/>
                <w:szCs w:val="20"/>
              </w:rPr>
            </w:pPr>
          </w:p>
        </w:tc>
      </w:tr>
    </w:tbl>
    <w:p w14:paraId="6EA09B37" w14:textId="77777777" w:rsidR="000E480A" w:rsidRDefault="000E480A"/>
    <w:sectPr w:rsidR="000E480A" w:rsidSect="00E70664">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15C47"/>
    <w:multiLevelType w:val="multilevel"/>
    <w:tmpl w:val="91E47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4785740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742"/>
    <w:rsid w:val="000E480A"/>
    <w:rsid w:val="007F74E9"/>
    <w:rsid w:val="00A66CD8"/>
    <w:rsid w:val="00AD5742"/>
    <w:rsid w:val="00E7066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1B6F7"/>
  <w15:chartTrackingRefBased/>
  <w15:docId w15:val="{0E44805A-109E-419C-9698-934291C3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742"/>
    <w:pPr>
      <w:spacing w:after="0" w:line="240" w:lineRule="auto"/>
    </w:pPr>
    <w:rPr>
      <w:rFonts w:ascii="Times New Roman" w:hAnsi="Times New Roman" w:cs="Times New Roman"/>
      <w:kern w:val="0"/>
      <w:sz w:val="24"/>
      <w:szCs w:val="24"/>
      <w:lang w:eastAsia="de-AT"/>
      <w14:ligatures w14:val="none"/>
    </w:rPr>
  </w:style>
  <w:style w:type="paragraph" w:styleId="berschrift1">
    <w:name w:val="heading 1"/>
    <w:basedOn w:val="Standard"/>
    <w:next w:val="Standard"/>
    <w:link w:val="berschrift1Zchn"/>
    <w:uiPriority w:val="9"/>
    <w:qFormat/>
    <w:rsid w:val="00AD57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erschrift2">
    <w:name w:val="heading 2"/>
    <w:basedOn w:val="Standard"/>
    <w:next w:val="Standard"/>
    <w:link w:val="berschrift2Zchn"/>
    <w:uiPriority w:val="9"/>
    <w:semiHidden/>
    <w:unhideWhenUsed/>
    <w:qFormat/>
    <w:rsid w:val="00AD57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erschrift3">
    <w:name w:val="heading 3"/>
    <w:basedOn w:val="Standard"/>
    <w:next w:val="Standard"/>
    <w:link w:val="berschrift3Zchn"/>
    <w:uiPriority w:val="9"/>
    <w:semiHidden/>
    <w:unhideWhenUsed/>
    <w:qFormat/>
    <w:rsid w:val="00AD5742"/>
    <w:pPr>
      <w:keepNext/>
      <w:keepLines/>
      <w:spacing w:before="160" w:after="80"/>
      <w:outlineLvl w:val="2"/>
    </w:pPr>
    <w:rPr>
      <w:rFonts w:eastAsiaTheme="majorEastAsia" w:cstheme="majorBidi"/>
      <w:color w:val="0F4761" w:themeColor="accent1" w:themeShade="BF"/>
      <w:sz w:val="28"/>
      <w:szCs w:val="28"/>
    </w:rPr>
  </w:style>
  <w:style w:type="paragraph" w:styleId="berschrift4">
    <w:name w:val="heading 4"/>
    <w:basedOn w:val="Standard"/>
    <w:next w:val="Standard"/>
    <w:link w:val="berschrift4Zchn"/>
    <w:uiPriority w:val="9"/>
    <w:semiHidden/>
    <w:unhideWhenUsed/>
    <w:qFormat/>
    <w:rsid w:val="00AD5742"/>
    <w:pPr>
      <w:keepNext/>
      <w:keepLines/>
      <w:spacing w:before="80" w:after="40"/>
      <w:outlineLvl w:val="3"/>
    </w:pPr>
    <w:rPr>
      <w:rFonts w:eastAsiaTheme="majorEastAsia" w:cstheme="majorBidi"/>
      <w:i/>
      <w:iCs/>
      <w:color w:val="0F4761" w:themeColor="accent1" w:themeShade="BF"/>
    </w:rPr>
  </w:style>
  <w:style w:type="paragraph" w:styleId="berschrift5">
    <w:name w:val="heading 5"/>
    <w:basedOn w:val="Standard"/>
    <w:next w:val="Standard"/>
    <w:link w:val="berschrift5Zchn"/>
    <w:uiPriority w:val="9"/>
    <w:semiHidden/>
    <w:unhideWhenUsed/>
    <w:qFormat/>
    <w:rsid w:val="00AD5742"/>
    <w:pPr>
      <w:keepNext/>
      <w:keepLines/>
      <w:spacing w:before="80" w:after="40"/>
      <w:outlineLvl w:val="4"/>
    </w:pPr>
    <w:rPr>
      <w:rFonts w:eastAsiaTheme="majorEastAsia" w:cstheme="majorBidi"/>
      <w:color w:val="0F4761" w:themeColor="accent1" w:themeShade="BF"/>
    </w:rPr>
  </w:style>
  <w:style w:type="paragraph" w:styleId="berschrift6">
    <w:name w:val="heading 6"/>
    <w:basedOn w:val="Standard"/>
    <w:next w:val="Standard"/>
    <w:link w:val="berschrift6Zchn"/>
    <w:uiPriority w:val="9"/>
    <w:semiHidden/>
    <w:unhideWhenUsed/>
    <w:qFormat/>
    <w:rsid w:val="00AD5742"/>
    <w:pPr>
      <w:keepNext/>
      <w:keepLines/>
      <w:spacing w:before="40"/>
      <w:outlineLvl w:val="5"/>
    </w:pPr>
    <w:rPr>
      <w:rFonts w:eastAsiaTheme="majorEastAsia" w:cstheme="majorBidi"/>
      <w:i/>
      <w:iCs/>
      <w:color w:val="595959" w:themeColor="text1" w:themeTint="A6"/>
    </w:rPr>
  </w:style>
  <w:style w:type="paragraph" w:styleId="berschrift7">
    <w:name w:val="heading 7"/>
    <w:basedOn w:val="Standard"/>
    <w:next w:val="Standard"/>
    <w:link w:val="berschrift7Zchn"/>
    <w:uiPriority w:val="9"/>
    <w:semiHidden/>
    <w:unhideWhenUsed/>
    <w:qFormat/>
    <w:rsid w:val="00AD5742"/>
    <w:pPr>
      <w:keepNext/>
      <w:keepLines/>
      <w:spacing w:before="40"/>
      <w:outlineLvl w:val="6"/>
    </w:pPr>
    <w:rPr>
      <w:rFonts w:eastAsiaTheme="majorEastAsia" w:cstheme="majorBidi"/>
      <w:color w:val="595959" w:themeColor="text1" w:themeTint="A6"/>
    </w:rPr>
  </w:style>
  <w:style w:type="paragraph" w:styleId="berschrift8">
    <w:name w:val="heading 8"/>
    <w:basedOn w:val="Standard"/>
    <w:next w:val="Standard"/>
    <w:link w:val="berschrift8Zchn"/>
    <w:uiPriority w:val="9"/>
    <w:semiHidden/>
    <w:unhideWhenUsed/>
    <w:qFormat/>
    <w:rsid w:val="00AD5742"/>
    <w:pPr>
      <w:keepNext/>
      <w:keepLines/>
      <w:outlineLvl w:val="7"/>
    </w:pPr>
    <w:rPr>
      <w:rFonts w:eastAsiaTheme="majorEastAsia" w:cstheme="majorBidi"/>
      <w:i/>
      <w:iCs/>
      <w:color w:val="272727" w:themeColor="text1" w:themeTint="D8"/>
    </w:rPr>
  </w:style>
  <w:style w:type="paragraph" w:styleId="berschrift9">
    <w:name w:val="heading 9"/>
    <w:basedOn w:val="Standard"/>
    <w:next w:val="Standard"/>
    <w:link w:val="berschrift9Zchn"/>
    <w:uiPriority w:val="9"/>
    <w:semiHidden/>
    <w:unhideWhenUsed/>
    <w:qFormat/>
    <w:rsid w:val="00AD5742"/>
    <w:pPr>
      <w:keepNext/>
      <w:keepLines/>
      <w:outlineLvl w:val="8"/>
    </w:pPr>
    <w:rPr>
      <w:rFonts w:eastAsiaTheme="majorEastAsia" w:cstheme="majorBidi"/>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D5742"/>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AD5742"/>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AD5742"/>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AD5742"/>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AD5742"/>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AD5742"/>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AD5742"/>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AD5742"/>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AD5742"/>
    <w:rPr>
      <w:rFonts w:eastAsiaTheme="majorEastAsia" w:cstheme="majorBidi"/>
      <w:color w:val="272727" w:themeColor="text1" w:themeTint="D8"/>
    </w:rPr>
  </w:style>
  <w:style w:type="paragraph" w:styleId="Titel">
    <w:name w:val="Title"/>
    <w:basedOn w:val="Standard"/>
    <w:next w:val="Standard"/>
    <w:link w:val="TitelZchn"/>
    <w:uiPriority w:val="10"/>
    <w:qFormat/>
    <w:rsid w:val="00AD5742"/>
    <w:pPr>
      <w:spacing w:after="8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D5742"/>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AD5742"/>
    <w:pPr>
      <w:numPr>
        <w:ilvl w:val="1"/>
      </w:numPr>
    </w:pPr>
    <w:rPr>
      <w:rFonts w:eastAsiaTheme="majorEastAsia" w:cstheme="majorBidi"/>
      <w:color w:val="595959" w:themeColor="text1" w:themeTint="A6"/>
      <w:spacing w:val="15"/>
      <w:sz w:val="28"/>
      <w:szCs w:val="28"/>
    </w:rPr>
  </w:style>
  <w:style w:type="character" w:customStyle="1" w:styleId="UntertitelZchn">
    <w:name w:val="Untertitel Zchn"/>
    <w:basedOn w:val="Absatz-Standardschriftart"/>
    <w:link w:val="Untertitel"/>
    <w:uiPriority w:val="11"/>
    <w:rsid w:val="00AD5742"/>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AD5742"/>
    <w:pPr>
      <w:spacing w:before="160"/>
      <w:jc w:val="center"/>
    </w:pPr>
    <w:rPr>
      <w:i/>
      <w:iCs/>
      <w:color w:val="404040" w:themeColor="text1" w:themeTint="BF"/>
    </w:rPr>
  </w:style>
  <w:style w:type="character" w:customStyle="1" w:styleId="ZitatZchn">
    <w:name w:val="Zitat Zchn"/>
    <w:basedOn w:val="Absatz-Standardschriftart"/>
    <w:link w:val="Zitat"/>
    <w:uiPriority w:val="29"/>
    <w:rsid w:val="00AD5742"/>
    <w:rPr>
      <w:i/>
      <w:iCs/>
      <w:color w:val="404040" w:themeColor="text1" w:themeTint="BF"/>
    </w:rPr>
  </w:style>
  <w:style w:type="paragraph" w:styleId="Listenabsatz">
    <w:name w:val="List Paragraph"/>
    <w:basedOn w:val="Standard"/>
    <w:uiPriority w:val="34"/>
    <w:qFormat/>
    <w:rsid w:val="00AD5742"/>
    <w:pPr>
      <w:ind w:left="720"/>
      <w:contextualSpacing/>
    </w:pPr>
  </w:style>
  <w:style w:type="character" w:styleId="IntensiveHervorhebung">
    <w:name w:val="Intense Emphasis"/>
    <w:basedOn w:val="Absatz-Standardschriftart"/>
    <w:uiPriority w:val="21"/>
    <w:qFormat/>
    <w:rsid w:val="00AD5742"/>
    <w:rPr>
      <w:i/>
      <w:iCs/>
      <w:color w:val="0F4761" w:themeColor="accent1" w:themeShade="BF"/>
    </w:rPr>
  </w:style>
  <w:style w:type="paragraph" w:styleId="IntensivesZitat">
    <w:name w:val="Intense Quote"/>
    <w:basedOn w:val="Standard"/>
    <w:next w:val="Standard"/>
    <w:link w:val="IntensivesZitatZchn"/>
    <w:uiPriority w:val="30"/>
    <w:qFormat/>
    <w:rsid w:val="00AD57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ivesZitatZchn">
    <w:name w:val="Intensives Zitat Zchn"/>
    <w:basedOn w:val="Absatz-Standardschriftart"/>
    <w:link w:val="IntensivesZitat"/>
    <w:uiPriority w:val="30"/>
    <w:rsid w:val="00AD5742"/>
    <w:rPr>
      <w:i/>
      <w:iCs/>
      <w:color w:val="0F4761" w:themeColor="accent1" w:themeShade="BF"/>
    </w:rPr>
  </w:style>
  <w:style w:type="character" w:styleId="IntensiverVerweis">
    <w:name w:val="Intense Reference"/>
    <w:basedOn w:val="Absatz-Standardschriftart"/>
    <w:uiPriority w:val="32"/>
    <w:qFormat/>
    <w:rsid w:val="00AD5742"/>
    <w:rPr>
      <w:b/>
      <w:bCs/>
      <w:smallCaps/>
      <w:color w:val="0F4761" w:themeColor="accent1" w:themeShade="BF"/>
      <w:spacing w:val="5"/>
    </w:rPr>
  </w:style>
  <w:style w:type="character" w:styleId="Hyperlink">
    <w:name w:val="Hyperlink"/>
    <w:basedOn w:val="Absatz-Standardschriftart"/>
    <w:uiPriority w:val="99"/>
    <w:semiHidden/>
    <w:unhideWhenUsed/>
    <w:rsid w:val="00AD5742"/>
    <w:rPr>
      <w:color w:val="000001"/>
      <w:u w:val="single"/>
    </w:rPr>
  </w:style>
  <w:style w:type="paragraph" w:styleId="StandardWeb">
    <w:name w:val="Normal (Web)"/>
    <w:basedOn w:val="Standard"/>
    <w:uiPriority w:val="99"/>
    <w:semiHidden/>
    <w:unhideWhenUsed/>
    <w:rsid w:val="00AD5742"/>
    <w:pPr>
      <w:spacing w:before="100" w:beforeAutospacing="1" w:after="100" w:afterAutospacing="1"/>
    </w:pPr>
    <w:rPr>
      <w:rFonts w:ascii="Aptos" w:hAnsi="Aptos" w:cs="Aptos"/>
    </w:rPr>
  </w:style>
  <w:style w:type="character" w:styleId="Fett">
    <w:name w:val="Strong"/>
    <w:basedOn w:val="Absatz-Standardschriftart"/>
    <w:uiPriority w:val="22"/>
    <w:qFormat/>
    <w:rsid w:val="00AD57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lkartenantrag.at" TargetMode="External"/><Relationship Id="rId13" Type="http://schemas.openxmlformats.org/officeDocument/2006/relationships/hyperlink" Target="tel:+43%20512%20508%201902" TargetMode="External"/><Relationship Id="rId3" Type="http://schemas.openxmlformats.org/officeDocument/2006/relationships/settings" Target="settings.xml"/><Relationship Id="rId7" Type="http://schemas.openxmlformats.org/officeDocument/2006/relationships/hyperlink" Target="http://www.tirol.gv.at/europawahl2024" TargetMode="External"/><Relationship Id="rId12" Type="http://schemas.openxmlformats.org/officeDocument/2006/relationships/hyperlink" Target="mailto:konrad.poelzl@tirol.gv.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cid:landtirol.png" TargetMode="External"/><Relationship Id="rId11" Type="http://schemas.openxmlformats.org/officeDocument/2006/relationships/hyperlink" Target="mailto:euregio@tirol.gv.at" TargetMode="External"/><Relationship Id="rId5" Type="http://schemas.openxmlformats.org/officeDocument/2006/relationships/image" Target="media/image1.png"/><Relationship Id="rId15" Type="http://schemas.openxmlformats.org/officeDocument/2006/relationships/hyperlink" Target="https://www.tirol.gv.at/impressum/" TargetMode="External"/><Relationship Id="rId10" Type="http://schemas.openxmlformats.org/officeDocument/2006/relationships/hyperlink" Target="mailto:euregio@tirol.gv.at" TargetMode="External"/><Relationship Id="rId4" Type="http://schemas.openxmlformats.org/officeDocument/2006/relationships/webSettings" Target="webSettings.xml"/><Relationship Id="rId9" Type="http://schemas.openxmlformats.org/officeDocument/2006/relationships/hyperlink" Target="http://www.tirol.gv.at/europawahl2024" TargetMode="External"/><Relationship Id="rId14" Type="http://schemas.openxmlformats.org/officeDocument/2006/relationships/hyperlink" Target="mailto:pr@tirol.gv.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5308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Kohler Heidrun / Gde. Wiesing</dc:creator>
  <cp:keywords/>
  <dc:description/>
  <cp:lastModifiedBy>Kohler Heidrun / Gde. Wiesing</cp:lastModifiedBy>
  <cp:revision>1</cp:revision>
  <cp:lastPrinted>2024-04-15T12:32:00Z</cp:lastPrinted>
  <dcterms:created xsi:type="dcterms:W3CDTF">2024-04-15T12:10:00Z</dcterms:created>
  <dcterms:modified xsi:type="dcterms:W3CDTF">2024-04-15T12:35:00Z</dcterms:modified>
</cp:coreProperties>
</file>